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rPr>
          <w:rFonts w:ascii="Calibri" w:cs="Calibri" w:eastAsia="Calibri" w:hAnsi="Calibri"/>
          <w:color w:val="222222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8"/>
          <w:szCs w:val="28"/>
          <w:rtl w:val="0"/>
        </w:rPr>
        <w:t xml:space="preserve">Obligaciones de pago derivadas de los contratos de asociación público-privada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rPr>
          <w:rFonts w:ascii="Calibri" w:cs="Calibri" w:eastAsia="Calibri" w:hAnsi="Calibri"/>
          <w:color w:val="222222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222222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03">
      <w:pPr>
        <w:shd w:fill="ffffff" w:val="clear"/>
        <w:jc w:val="both"/>
        <w:rPr>
          <w:rFonts w:ascii="Calibri" w:cs="Calibri" w:eastAsia="Calibri" w:hAnsi="Calibri"/>
          <w:color w:val="222222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222222"/>
          <w:sz w:val="28"/>
          <w:szCs w:val="28"/>
          <w:rtl w:val="0"/>
        </w:rPr>
        <w:t xml:space="preserve">Respecto a lo establecido en el Artículo 39 numeral XV de la Ley del Presupuesto, Contabilidad y Gasto Público del Estado de Jalisco, que solicita se integre un documento que describa la:</w:t>
      </w:r>
    </w:p>
    <w:p w:rsidR="00000000" w:rsidDel="00000000" w:rsidP="00000000" w:rsidRDefault="00000000" w:rsidRPr="00000000" w14:paraId="00000004">
      <w:pPr>
        <w:ind w:left="708" w:firstLine="0"/>
        <w:jc w:val="both"/>
        <w:rPr>
          <w:rFonts w:ascii="Arial" w:cs="Arial" w:eastAsia="Arial" w:hAnsi="Arial"/>
          <w:i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“Situación que guardan las obligaciones de pago derivadas de los contratos de asociación público-privada para el desarrollo de proyectos de inversión en infraestructura o de prestación de servicios que en ejercicios anteriores fueron autorizados por el Congreso del Estado;” </w:t>
      </w:r>
    </w:p>
    <w:p w:rsidR="00000000" w:rsidDel="00000000" w:rsidP="00000000" w:rsidRDefault="00000000" w:rsidRPr="00000000" w14:paraId="00000005">
      <w:pPr>
        <w:shd w:fill="ffffff" w:val="clear"/>
        <w:jc w:val="both"/>
        <w:rPr>
          <w:rFonts w:ascii="Calibri" w:cs="Calibri" w:eastAsia="Calibri" w:hAnsi="Calibri"/>
          <w:color w:val="222222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color w:val="222222"/>
          <w:sz w:val="28"/>
          <w:szCs w:val="28"/>
          <w:rtl w:val="0"/>
        </w:rPr>
        <w:t xml:space="preserve">Se externa, que durante el presente ejercicio fiscal no se adquirieron obligaciones con estas características.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17" w:top="1417" w:left="1701" w:right="1325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7">
    <w:pPr>
      <w:tabs>
        <w:tab w:val="center" w:pos="4550"/>
        <w:tab w:val="left" w:pos="5818"/>
      </w:tabs>
      <w:ind w:right="260"/>
      <w:jc w:val="center"/>
      <w:rPr>
        <w:color w:val="222a35"/>
        <w:sz w:val="24"/>
        <w:szCs w:val="24"/>
      </w:rPr>
    </w:pPr>
    <w:r w:rsidDel="00000000" w:rsidR="00000000" w:rsidRPr="00000000">
      <w:rPr>
        <w:color w:val="8496b0"/>
        <w:sz w:val="24"/>
        <w:szCs w:val="24"/>
        <w:rtl w:val="0"/>
      </w:rPr>
      <w:t xml:space="preserve">Página </w:t>
    </w:r>
    <w:r w:rsidDel="00000000" w:rsidR="00000000" w:rsidRPr="00000000">
      <w:rPr>
        <w:color w:val="323e4f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323e4f"/>
        <w:sz w:val="24"/>
        <w:szCs w:val="24"/>
        <w:rtl w:val="0"/>
      </w:rPr>
      <w:t xml:space="preserve"> | </w:t>
    </w:r>
    <w:r w:rsidDel="00000000" w:rsidR="00000000" w:rsidRPr="00000000">
      <w:rPr>
        <w:color w:val="323e4f"/>
        <w:sz w:val="24"/>
        <w:szCs w:val="24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